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3BC0" w:rsidRPr="00894689" w:rsidRDefault="00243BC0" w:rsidP="00243BC0">
      <w:pPr>
        <w:pBdr>
          <w:top w:val="single" w:sz="4" w:space="1" w:color="auto"/>
        </w:pBdr>
        <w:spacing w:line="0" w:lineRule="atLeast"/>
        <w:rPr>
          <w:color w:val="404040"/>
          <w:sz w:val="34"/>
        </w:rPr>
      </w:pPr>
      <w:r>
        <w:t>COMPLETE WORDING of</w:t>
      </w:r>
      <w:r w:rsidR="00E06C55">
        <w:rPr>
          <w:noProof/>
        </w:rPr>
        <w:pict>
          <v:shapetype id="_x0000_t202" coordsize="21600,21600" o:spt="202" path="m,l,21600r21600,l21600,xe">
            <v:stroke joinstyle="miter"/>
            <v:path gradientshapeok="t" o:connecttype="rect"/>
          </v:shapetype>
          <v:shape id="Textové pole 7" o:spid="_x0000_s1032" type="#_x0000_t202" style="position:absolute;margin-left:358.7pt;margin-top:6.5pt;width:95.25pt;height:5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" strokecolor="white">
            <v:textbox>
              <w:txbxContent>
                <w:p w:rsidR="00243BC0" w:rsidRDefault="00E06C55" w:rsidP="00243BC0">
                  <w:r>
                    <w:rPr>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6" type="#_x0000_t75" style="width:83.25pt;height:55.5pt;visibility:visible;mso-wrap-style:square">
                        <v:imagedata r:id="rId7" o:title="stažený soubor"/>
                      </v:shape>
                    </w:pict>
                  </w:r>
                </w:p>
              </w:txbxContent>
            </v:textbox>
          </v:shape>
        </w:pict>
      </w:r>
      <w:r>
        <w:t xml:space="preserve"> </w:t>
      </w:r>
      <w:r>
        <w:rPr>
          <w:color w:val="404040"/>
          <w:sz w:val="34"/>
        </w:rPr>
        <w:t>RECTOR’S DIRECTIVE</w:t>
      </w:r>
    </w:p>
    <w:p w:rsidR="00243BC0" w:rsidRPr="00894689" w:rsidRDefault="00243BC0" w:rsidP="00243BC0">
      <w:pPr>
        <w:spacing w:line="41" w:lineRule="exact"/>
        <w:rPr>
          <w:rFonts w:ascii="Times New Roman" w:eastAsia="Times New Roman" w:hAnsi="Times New Roman"/>
          <w:sz w:val="24"/>
        </w:rPr>
      </w:pPr>
    </w:p>
    <w:p w:rsidR="00243BC0" w:rsidRPr="00894689" w:rsidRDefault="00243BC0" w:rsidP="00243BC0">
      <w:pPr>
        <w:spacing w:line="0" w:lineRule="atLeast"/>
        <w:rPr>
          <w:b/>
          <w:color w:val="404040"/>
          <w:sz w:val="38"/>
        </w:rPr>
      </w:pPr>
      <w:r>
        <w:rPr>
          <w:b/>
          <w:color w:val="404040"/>
          <w:sz w:val="38"/>
        </w:rPr>
        <w:t xml:space="preserve">No. 11/2011 </w:t>
      </w:r>
      <w:r>
        <w:rPr>
          <w:color w:val="404040"/>
          <w:sz w:val="28"/>
        </w:rPr>
        <w:t xml:space="preserve">as amended by </w:t>
      </w:r>
      <w:r w:rsidR="006E0E7A">
        <w:rPr>
          <w:color w:val="404040"/>
          <w:sz w:val="28"/>
        </w:rPr>
        <w:t>Amendment</w:t>
      </w:r>
      <w:r>
        <w:rPr>
          <w:color w:val="404040"/>
          <w:sz w:val="28"/>
        </w:rPr>
        <w:t xml:space="preserve"> No.</w:t>
      </w:r>
      <w:r w:rsidRPr="00243BC0">
        <w:rPr>
          <w:b/>
          <w:color w:val="404040"/>
          <w:sz w:val="38"/>
        </w:rPr>
        <w:t xml:space="preserve"> </w:t>
      </w:r>
      <w:r w:rsidRPr="00243BC0">
        <w:rPr>
          <w:color w:val="404040"/>
          <w:sz w:val="28"/>
        </w:rPr>
        <w:t>8/2014</w:t>
      </w:r>
    </w:p>
    <w:p w:rsidR="00243BC0" w:rsidRPr="00894689" w:rsidRDefault="00243BC0" w:rsidP="00243BC0">
      <w:pPr>
        <w:spacing w:line="20" w:lineRule="exact"/>
        <w:rPr>
          <w:rFonts w:ascii="Times New Roman" w:eastAsia="Times New Roman" w:hAnsi="Times New Roman"/>
          <w:sz w:val="24"/>
        </w:rPr>
      </w:pPr>
    </w:p>
    <w:p w:rsidR="00243BC0" w:rsidRPr="00894689" w:rsidRDefault="00243BC0" w:rsidP="00243BC0">
      <w:pPr>
        <w:spacing w:line="268" w:lineRule="exact"/>
        <w:rPr>
          <w:rFonts w:ascii="Times New Roman" w:eastAsia="Times New Roman" w:hAnsi="Times New Roman"/>
          <w:sz w:val="24"/>
        </w:rPr>
      </w:pPr>
    </w:p>
    <w:p w:rsidR="00243BC0" w:rsidRPr="00832332" w:rsidRDefault="00E06C55" w:rsidP="00243BC0">
      <w:pPr>
        <w:spacing w:line="0" w:lineRule="atLeast"/>
        <w:ind w:right="-99"/>
        <w:jc w:val="center"/>
        <w:rPr>
          <w:sz w:val="24"/>
        </w:rPr>
      </w:pPr>
      <w:r>
        <w:rPr>
          <w:noProof/>
        </w:rPr>
        <w:pict>
          <v:line id="Přímá spojnice 5" o:spid="_x0000_s1031"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pt" to="46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" strokeweight=".16931mm"/>
        </w:pict>
      </w:r>
    </w:p>
    <w:p w:rsidR="00D24507" w:rsidRPr="00243BC0" w:rsidRDefault="00243BC0" w:rsidP="00243BC0">
      <w:pPr>
        <w:spacing w:before="240" w:line="0" w:lineRule="atLeast"/>
        <w:ind w:right="-102"/>
        <w:jc w:val="center"/>
        <w:rPr>
          <w:sz w:val="40"/>
        </w:rPr>
      </w:pPr>
      <w:r>
        <w:rPr>
          <w:sz w:val="40"/>
        </w:rPr>
        <w:t xml:space="preserve">Award of the CULS Rector’s Prize </w:t>
      </w:r>
    </w:p>
    <w:p w:rsidR="00D24507" w:rsidRPr="00243BC0" w:rsidRDefault="00243BC0">
      <w:pPr>
        <w:spacing w:line="239" w:lineRule="auto"/>
        <w:ind w:right="-100"/>
        <w:jc w:val="center"/>
        <w:rPr>
          <w:sz w:val="40"/>
        </w:rPr>
      </w:pPr>
      <w:proofErr w:type="gramStart"/>
      <w:r>
        <w:rPr>
          <w:sz w:val="40"/>
        </w:rPr>
        <w:t>for</w:t>
      </w:r>
      <w:proofErr w:type="gramEnd"/>
      <w:r>
        <w:rPr>
          <w:sz w:val="40"/>
        </w:rPr>
        <w:t xml:space="preserve"> excellent diploma theses</w:t>
      </w:r>
    </w:p>
    <w:p w:rsidR="00D24507" w:rsidRPr="00243BC0" w:rsidRDefault="00E06C55">
      <w:pPr>
        <w:spacing w:line="20" w:lineRule="exact"/>
        <w:rPr>
          <w:rFonts w:ascii="Times New Roman" w:eastAsia="Times New Roman" w:hAnsi="Times New Roman"/>
          <w:sz w:val="24"/>
        </w:rPr>
      </w:pPr>
      <w:r>
        <w:rPr>
          <w:sz w:val="40"/>
        </w:rPr>
        <w:pict>
          <v:shape id="_x0000_s1028" type="#_x0000_t75" style="position:absolute;margin-left:-1.4pt;margin-top:1.55pt;width:462.1pt;height:.5pt;z-index:-251660288">
            <v:imagedata r:id="rId8" o:title=""/>
          </v:shape>
        </w:pict>
      </w:r>
    </w:p>
    <w:p w:rsidR="00D24507" w:rsidRPr="00243BC0" w:rsidRDefault="00243BC0" w:rsidP="00243BC0">
      <w:pPr>
        <w:spacing w:before="240" w:line="0" w:lineRule="atLeast"/>
        <w:ind w:right="17"/>
        <w:jc w:val="center"/>
        <w:rPr>
          <w:sz w:val="22"/>
        </w:rPr>
      </w:pPr>
      <w:r>
        <w:rPr>
          <w:sz w:val="22"/>
        </w:rPr>
        <w:t>Clause</w:t>
      </w:r>
      <w:r w:rsidR="00CA4B92" w:rsidRPr="00243BC0">
        <w:rPr>
          <w:sz w:val="22"/>
        </w:rPr>
        <w:t xml:space="preserve"> 1</w:t>
      </w:r>
    </w:p>
    <w:p w:rsidR="00D24507" w:rsidRPr="00243BC0" w:rsidRDefault="00D24507">
      <w:pPr>
        <w:spacing w:line="43" w:lineRule="exact"/>
        <w:rPr>
          <w:rFonts w:ascii="Times New Roman" w:eastAsia="Times New Roman" w:hAnsi="Times New Roman"/>
          <w:sz w:val="24"/>
        </w:rPr>
      </w:pPr>
    </w:p>
    <w:p w:rsidR="00D24507" w:rsidRPr="00243BC0" w:rsidRDefault="00243BC0">
      <w:pPr>
        <w:spacing w:line="0" w:lineRule="atLeast"/>
        <w:jc w:val="center"/>
        <w:rPr>
          <w:b/>
          <w:sz w:val="22"/>
        </w:rPr>
      </w:pPr>
      <w:r>
        <w:rPr>
          <w:b/>
          <w:sz w:val="22"/>
        </w:rPr>
        <w:t>Introductory provisions</w:t>
      </w:r>
    </w:p>
    <w:p w:rsidR="00D24507" w:rsidRPr="00243BC0" w:rsidRDefault="00D24507">
      <w:pPr>
        <w:spacing w:line="287" w:lineRule="exact"/>
        <w:rPr>
          <w:rFonts w:ascii="Times New Roman" w:eastAsia="Times New Roman" w:hAnsi="Times New Roman"/>
          <w:sz w:val="24"/>
        </w:rPr>
      </w:pPr>
    </w:p>
    <w:p w:rsidR="00D24507" w:rsidRPr="00243BC0" w:rsidRDefault="00243BC0" w:rsidP="00243BC0">
      <w:pPr>
        <w:numPr>
          <w:ilvl w:val="0"/>
          <w:numId w:val="2"/>
        </w:numPr>
        <w:tabs>
          <w:tab w:val="left" w:pos="421"/>
        </w:tabs>
        <w:spacing w:after="240" w:line="255" w:lineRule="auto"/>
        <w:ind w:left="421" w:hanging="354"/>
        <w:jc w:val="both"/>
        <w:rPr>
          <w:sz w:val="22"/>
        </w:rPr>
      </w:pPr>
      <w:r w:rsidRPr="00023EA4">
        <w:rPr>
          <w:sz w:val="22"/>
        </w:rPr>
        <w:t xml:space="preserve">The present Directive is valid for the </w:t>
      </w:r>
      <w:r w:rsidR="004C40EF">
        <w:rPr>
          <w:sz w:val="22"/>
        </w:rPr>
        <w:t>section</w:t>
      </w:r>
      <w:r w:rsidRPr="00023EA4">
        <w:rPr>
          <w:sz w:val="22"/>
        </w:rPr>
        <w:t xml:space="preserve"> “school” of the Czech University of Life Sciences Prague (hereinafter as the “CULS”) and sets forth the rules </w:t>
      </w:r>
      <w:r>
        <w:rPr>
          <w:sz w:val="22"/>
        </w:rPr>
        <w:t>for award</w:t>
      </w:r>
      <w:r w:rsidR="004C40EF">
        <w:rPr>
          <w:sz w:val="22"/>
        </w:rPr>
        <w:t>ing</w:t>
      </w:r>
      <w:r>
        <w:rPr>
          <w:sz w:val="22"/>
        </w:rPr>
        <w:t xml:space="preserve"> the CULS Rector’s Prize for the best diploma thesis (hereinafter as the CULS Rector’s Prizes”) </w:t>
      </w:r>
      <w:r w:rsidR="004C40EF">
        <w:rPr>
          <w:sz w:val="22"/>
        </w:rPr>
        <w:t>written</w:t>
      </w:r>
      <w:r>
        <w:rPr>
          <w:sz w:val="22"/>
        </w:rPr>
        <w:t xml:space="preserve"> by students of the individual CULS Faculties.</w:t>
      </w:r>
    </w:p>
    <w:p w:rsidR="00D24507" w:rsidRPr="00243BC0" w:rsidRDefault="00243BC0" w:rsidP="00243BC0">
      <w:pPr>
        <w:numPr>
          <w:ilvl w:val="0"/>
          <w:numId w:val="2"/>
        </w:numPr>
        <w:tabs>
          <w:tab w:val="left" w:pos="421"/>
        </w:tabs>
        <w:spacing w:line="254" w:lineRule="auto"/>
        <w:ind w:left="421" w:hanging="354"/>
        <w:jc w:val="both"/>
        <w:rPr>
          <w:sz w:val="22"/>
        </w:rPr>
      </w:pPr>
      <w:r w:rsidRPr="00243BC0">
        <w:rPr>
          <w:sz w:val="22"/>
        </w:rPr>
        <w:t xml:space="preserve">The objective of awarding the CULS Rector’s Prize is to motivate CULS students of Master’s </w:t>
      </w:r>
      <w:r w:rsidR="006C23F7" w:rsidRPr="00243BC0">
        <w:rPr>
          <w:sz w:val="22"/>
        </w:rPr>
        <w:t xml:space="preserve">study </w:t>
      </w:r>
      <w:r w:rsidRPr="00243BC0">
        <w:rPr>
          <w:sz w:val="22"/>
        </w:rPr>
        <w:t>programme</w:t>
      </w:r>
      <w:r w:rsidR="004C40EF">
        <w:rPr>
          <w:sz w:val="22"/>
        </w:rPr>
        <w:t>s</w:t>
      </w:r>
      <w:r w:rsidRPr="00243BC0">
        <w:rPr>
          <w:sz w:val="22"/>
        </w:rPr>
        <w:t xml:space="preserve"> </w:t>
      </w:r>
      <w:bookmarkStart w:id="0" w:name="_GoBack"/>
      <w:bookmarkEnd w:id="0"/>
      <w:r w:rsidRPr="00243BC0">
        <w:rPr>
          <w:sz w:val="22"/>
        </w:rPr>
        <w:t xml:space="preserve">and their supervisors to </w:t>
      </w:r>
      <w:r w:rsidR="004C40EF">
        <w:rPr>
          <w:sz w:val="22"/>
        </w:rPr>
        <w:t>submit</w:t>
      </w:r>
      <w:r w:rsidRPr="00243BC0">
        <w:rPr>
          <w:sz w:val="22"/>
        </w:rPr>
        <w:t xml:space="preserve"> quality diploma theses, whereby fostering their engagement in scientific and research activities of the CULS individual Faculties, or preparation of their results for publication as early as during their Master’s studies.</w:t>
      </w:r>
    </w:p>
    <w:p w:rsidR="00D24507" w:rsidRPr="00243BC0" w:rsidRDefault="00243BC0" w:rsidP="00243BC0">
      <w:pPr>
        <w:spacing w:before="360" w:line="0" w:lineRule="atLeast"/>
        <w:ind w:right="17"/>
        <w:jc w:val="center"/>
        <w:rPr>
          <w:sz w:val="22"/>
        </w:rPr>
      </w:pPr>
      <w:r>
        <w:rPr>
          <w:sz w:val="22"/>
        </w:rPr>
        <w:t>Clause</w:t>
      </w:r>
      <w:r w:rsidR="00CA4B92" w:rsidRPr="00243BC0">
        <w:rPr>
          <w:sz w:val="22"/>
        </w:rPr>
        <w:t xml:space="preserve"> 2</w:t>
      </w:r>
    </w:p>
    <w:p w:rsidR="00D24507" w:rsidRPr="00243BC0" w:rsidRDefault="00D24507">
      <w:pPr>
        <w:spacing w:line="43" w:lineRule="exact"/>
        <w:rPr>
          <w:rFonts w:ascii="Times New Roman" w:eastAsia="Times New Roman" w:hAnsi="Times New Roman"/>
          <w:sz w:val="24"/>
        </w:rPr>
      </w:pPr>
    </w:p>
    <w:p w:rsidR="00D24507" w:rsidRPr="00243BC0" w:rsidRDefault="00243BC0" w:rsidP="00243BC0">
      <w:pPr>
        <w:spacing w:after="240" w:line="0" w:lineRule="atLeast"/>
        <w:jc w:val="center"/>
        <w:rPr>
          <w:b/>
          <w:sz w:val="22"/>
        </w:rPr>
      </w:pPr>
      <w:r>
        <w:rPr>
          <w:b/>
          <w:sz w:val="22"/>
        </w:rPr>
        <w:t xml:space="preserve">Rules for awarding the CULS Rector’s Prize </w:t>
      </w:r>
    </w:p>
    <w:p w:rsidR="00D24507" w:rsidRPr="00243BC0" w:rsidRDefault="00243BC0" w:rsidP="00243BC0">
      <w:pPr>
        <w:numPr>
          <w:ilvl w:val="0"/>
          <w:numId w:val="3"/>
        </w:numPr>
        <w:tabs>
          <w:tab w:val="left" w:pos="421"/>
        </w:tabs>
        <w:spacing w:after="240" w:line="262" w:lineRule="auto"/>
        <w:ind w:left="420" w:hanging="352"/>
        <w:jc w:val="both"/>
        <w:rPr>
          <w:sz w:val="22"/>
        </w:rPr>
      </w:pPr>
      <w:r>
        <w:rPr>
          <w:sz w:val="22"/>
        </w:rPr>
        <w:t>The CULS Rector’s Prize shall be awarded for the best diploma thes</w:t>
      </w:r>
      <w:r w:rsidR="004C40EF">
        <w:rPr>
          <w:sz w:val="22"/>
        </w:rPr>
        <w:t>e</w:t>
      </w:r>
      <w:r>
        <w:rPr>
          <w:sz w:val="22"/>
        </w:rPr>
        <w:t xml:space="preserve">s </w:t>
      </w:r>
      <w:r w:rsidR="004C40EF">
        <w:rPr>
          <w:sz w:val="22"/>
        </w:rPr>
        <w:t>coming from</w:t>
      </w:r>
      <w:r>
        <w:rPr>
          <w:sz w:val="22"/>
        </w:rPr>
        <w:t xml:space="preserve"> every CULS Faculty. The number of diploma theses for which the CULS Rector’s Prize may be awarded is determined on a pro-rata basis according to the average number of graduates from every CULS Faculty within one academic year as follows: Faculty of Economics and Management</w:t>
      </w:r>
      <w:r w:rsidR="00CA4B92" w:rsidRPr="00243BC0">
        <w:rPr>
          <w:sz w:val="22"/>
        </w:rPr>
        <w:t xml:space="preserve"> – 13, </w:t>
      </w:r>
      <w:r>
        <w:rPr>
          <w:sz w:val="22"/>
        </w:rPr>
        <w:t>Faculty of Agrobiology, Food and Natural Resources</w:t>
      </w:r>
      <w:r w:rsidR="00CA4B92" w:rsidRPr="00243BC0">
        <w:rPr>
          <w:sz w:val="22"/>
        </w:rPr>
        <w:t xml:space="preserve"> – 6, </w:t>
      </w:r>
      <w:r>
        <w:rPr>
          <w:sz w:val="22"/>
        </w:rPr>
        <w:t>Faculty of Environmental Sciences</w:t>
      </w:r>
      <w:r w:rsidR="00CA4B92" w:rsidRPr="00243BC0">
        <w:rPr>
          <w:sz w:val="22"/>
        </w:rPr>
        <w:t xml:space="preserve"> – 5, </w:t>
      </w:r>
      <w:r>
        <w:rPr>
          <w:sz w:val="22"/>
        </w:rPr>
        <w:t>Faculty of Engineering</w:t>
      </w:r>
      <w:r w:rsidR="00CA4B92" w:rsidRPr="00243BC0">
        <w:rPr>
          <w:sz w:val="22"/>
        </w:rPr>
        <w:t xml:space="preserve"> – 3, </w:t>
      </w:r>
      <w:r>
        <w:rPr>
          <w:sz w:val="22"/>
        </w:rPr>
        <w:t>Faculty of Forestry and Wood Sciences</w:t>
      </w:r>
      <w:r w:rsidR="00CA4B92" w:rsidRPr="00243BC0">
        <w:rPr>
          <w:sz w:val="22"/>
        </w:rPr>
        <w:t xml:space="preserve"> – 2, </w:t>
      </w:r>
      <w:r>
        <w:rPr>
          <w:sz w:val="22"/>
        </w:rPr>
        <w:t xml:space="preserve">Faculty of Tropical </w:t>
      </w:r>
      <w:proofErr w:type="spellStart"/>
      <w:r>
        <w:rPr>
          <w:sz w:val="22"/>
        </w:rPr>
        <w:t>AgroSciences</w:t>
      </w:r>
      <w:proofErr w:type="spellEnd"/>
      <w:r w:rsidR="00CA4B92" w:rsidRPr="00243BC0">
        <w:rPr>
          <w:sz w:val="22"/>
        </w:rPr>
        <w:t xml:space="preserve"> – 1 (</w:t>
      </w:r>
      <w:r>
        <w:rPr>
          <w:sz w:val="22"/>
        </w:rPr>
        <w:t>30 in total)</w:t>
      </w:r>
      <w:r w:rsidR="00CA4B92" w:rsidRPr="00243BC0">
        <w:rPr>
          <w:sz w:val="22"/>
        </w:rPr>
        <w:t>.</w:t>
      </w:r>
    </w:p>
    <w:p w:rsidR="00D24507" w:rsidRPr="00243BC0" w:rsidRDefault="00243BC0" w:rsidP="00243BC0">
      <w:pPr>
        <w:numPr>
          <w:ilvl w:val="0"/>
          <w:numId w:val="3"/>
        </w:numPr>
        <w:tabs>
          <w:tab w:val="left" w:pos="421"/>
        </w:tabs>
        <w:spacing w:after="240" w:line="236" w:lineRule="auto"/>
        <w:ind w:left="420" w:right="20" w:hanging="352"/>
        <w:jc w:val="both"/>
        <w:rPr>
          <w:sz w:val="22"/>
        </w:rPr>
      </w:pPr>
      <w:r>
        <w:rPr>
          <w:sz w:val="22"/>
        </w:rPr>
        <w:t>Where any of the CULS Faculties organize more dates of state final examinations, it is possible to divide the relevant number of diploma theses according to the previous paragraph among those dates.</w:t>
      </w:r>
    </w:p>
    <w:p w:rsidR="001C0114" w:rsidRDefault="001C0114" w:rsidP="00243BC0">
      <w:pPr>
        <w:numPr>
          <w:ilvl w:val="0"/>
          <w:numId w:val="3"/>
        </w:numPr>
        <w:tabs>
          <w:tab w:val="left" w:pos="421"/>
        </w:tabs>
        <w:spacing w:after="240" w:line="265" w:lineRule="auto"/>
        <w:ind w:left="420" w:hanging="352"/>
        <w:jc w:val="both"/>
        <w:rPr>
          <w:sz w:val="22"/>
        </w:rPr>
      </w:pPr>
      <w:r>
        <w:rPr>
          <w:sz w:val="22"/>
        </w:rPr>
        <w:t xml:space="preserve">Diploma theses for award of the CULS Rector’s Prize are nominated by the individual CULS Faculties. Names of nominated CULS students, fields of study, themes of diploma theses, names of supervisors, names of Departments and </w:t>
      </w:r>
      <w:r w:rsidR="004C40EF">
        <w:rPr>
          <w:sz w:val="22"/>
        </w:rPr>
        <w:t xml:space="preserve">a </w:t>
      </w:r>
      <w:r>
        <w:rPr>
          <w:sz w:val="22"/>
        </w:rPr>
        <w:t xml:space="preserve">brief </w:t>
      </w:r>
      <w:r w:rsidR="004C40EF">
        <w:rPr>
          <w:sz w:val="22"/>
        </w:rPr>
        <w:t>explanation in support</w:t>
      </w:r>
      <w:r>
        <w:rPr>
          <w:sz w:val="22"/>
        </w:rPr>
        <w:t xml:space="preserve"> of the nomination </w:t>
      </w:r>
      <w:r w:rsidR="004C40EF">
        <w:rPr>
          <w:sz w:val="22"/>
        </w:rPr>
        <w:t>should be</w:t>
      </w:r>
      <w:r>
        <w:rPr>
          <w:sz w:val="22"/>
        </w:rPr>
        <w:t xml:space="preserve"> reported to the Department for Studies, the CULS Rector’s Office by the individual CULS Faculties as soon as practicable after the end of state final examinations, but no later than 5 business days prior to the respective graduation ceremonies. </w:t>
      </w:r>
    </w:p>
    <w:p w:rsidR="00B635EC" w:rsidRPr="001C0114" w:rsidRDefault="001C0114" w:rsidP="00B635EC">
      <w:pPr>
        <w:numPr>
          <w:ilvl w:val="0"/>
          <w:numId w:val="3"/>
        </w:numPr>
        <w:tabs>
          <w:tab w:val="left" w:pos="421"/>
        </w:tabs>
        <w:spacing w:after="240" w:line="262" w:lineRule="auto"/>
        <w:ind w:left="420" w:hanging="352"/>
        <w:jc w:val="both"/>
        <w:rPr>
          <w:sz w:val="22"/>
        </w:rPr>
      </w:pPr>
      <w:r w:rsidRPr="001C0114">
        <w:rPr>
          <w:sz w:val="22"/>
        </w:rPr>
        <w:t xml:space="preserve">The main criterion for selecting a diploma thesis for award of the CULS Rector’s Prize is the scientific nature of the diploma thesis, original results, or, as the case may be, publication of these results. Consideration may be given to the formal aspect of diploma theses as well as other activities of the CULS student in research and development. The selection methods of </w:t>
      </w:r>
      <w:r w:rsidRPr="001C0114">
        <w:rPr>
          <w:sz w:val="22"/>
        </w:rPr>
        <w:lastRenderedPageBreak/>
        <w:t xml:space="preserve">diploma theses for award of the CULS Rector’s Prize are within the competences of the individual CULS Faculties.   </w:t>
      </w:r>
    </w:p>
    <w:p w:rsidR="00D24507" w:rsidRDefault="00B635EC" w:rsidP="00243BC0">
      <w:pPr>
        <w:numPr>
          <w:ilvl w:val="0"/>
          <w:numId w:val="3"/>
        </w:numPr>
        <w:tabs>
          <w:tab w:val="left" w:pos="421"/>
        </w:tabs>
        <w:spacing w:after="240" w:line="255" w:lineRule="auto"/>
        <w:ind w:left="420" w:hanging="352"/>
        <w:jc w:val="both"/>
        <w:rPr>
          <w:sz w:val="22"/>
        </w:rPr>
      </w:pPr>
      <w:r>
        <w:rPr>
          <w:sz w:val="22"/>
        </w:rPr>
        <w:t xml:space="preserve">Students will receive a certificate of award of the CULS Rector’s Prize during the graduation ceremony; the certificate shall state the theme of the diploma thesis, the name of the supervisor and the Department. The Department for Studies, the CULS Rector’s Office, arranges for printing of certificates of award of the CULS Rector’s Prize and for signing the same by the CULS Rector.   </w:t>
      </w:r>
      <w:r w:rsidR="00CA4B92" w:rsidRPr="00243BC0">
        <w:rPr>
          <w:sz w:val="22"/>
        </w:rPr>
        <w:t xml:space="preserve"> </w:t>
      </w:r>
    </w:p>
    <w:p w:rsidR="00D24507" w:rsidRPr="00243BC0" w:rsidRDefault="00D24507">
      <w:pPr>
        <w:spacing w:line="19" w:lineRule="exact"/>
        <w:rPr>
          <w:rFonts w:ascii="Times New Roman" w:eastAsia="Times New Roman" w:hAnsi="Times New Roman"/>
        </w:rPr>
      </w:pPr>
      <w:bookmarkStart w:id="1" w:name="page2"/>
      <w:bookmarkEnd w:id="1"/>
    </w:p>
    <w:p w:rsidR="00D24507" w:rsidRPr="00243BC0" w:rsidRDefault="00B635EC" w:rsidP="00B635EC">
      <w:pPr>
        <w:numPr>
          <w:ilvl w:val="0"/>
          <w:numId w:val="4"/>
        </w:numPr>
        <w:tabs>
          <w:tab w:val="left" w:pos="421"/>
        </w:tabs>
        <w:spacing w:after="240" w:line="254" w:lineRule="auto"/>
        <w:ind w:left="420" w:right="20" w:hanging="352"/>
        <w:jc w:val="both"/>
        <w:rPr>
          <w:sz w:val="22"/>
        </w:rPr>
      </w:pPr>
      <w:r>
        <w:rPr>
          <w:sz w:val="22"/>
        </w:rPr>
        <w:t xml:space="preserve">Award of the CULS Rector’s Prize is linked with </w:t>
      </w:r>
      <w:r w:rsidR="004C40EF">
        <w:rPr>
          <w:sz w:val="22"/>
        </w:rPr>
        <w:t>monetary</w:t>
      </w:r>
      <w:r>
        <w:rPr>
          <w:sz w:val="22"/>
        </w:rPr>
        <w:t xml:space="preserve"> remuneration provided to the award-winning students of the CULS in the expected amount of CZK 100,000.00. The </w:t>
      </w:r>
      <w:r w:rsidR="004C40EF">
        <w:rPr>
          <w:sz w:val="22"/>
        </w:rPr>
        <w:t xml:space="preserve">monetary </w:t>
      </w:r>
      <w:r>
        <w:rPr>
          <w:sz w:val="22"/>
        </w:rPr>
        <w:t>remuneration shall be paid by the Department for Studies, the CULS Rector’s Office.</w:t>
      </w:r>
    </w:p>
    <w:p w:rsidR="00D24507" w:rsidRPr="00243BC0" w:rsidRDefault="00B635EC" w:rsidP="00B635EC">
      <w:pPr>
        <w:numPr>
          <w:ilvl w:val="0"/>
          <w:numId w:val="4"/>
        </w:numPr>
        <w:tabs>
          <w:tab w:val="left" w:pos="421"/>
        </w:tabs>
        <w:spacing w:after="240" w:line="255" w:lineRule="auto"/>
        <w:ind w:left="420" w:hanging="352"/>
        <w:jc w:val="both"/>
        <w:rPr>
          <w:sz w:val="22"/>
        </w:rPr>
      </w:pPr>
      <w:r>
        <w:rPr>
          <w:sz w:val="22"/>
        </w:rPr>
        <w:t xml:space="preserve">In addition, award of the CULS Rector’s Prize implies </w:t>
      </w:r>
      <w:r w:rsidR="004C40EF">
        <w:rPr>
          <w:sz w:val="22"/>
        </w:rPr>
        <w:t xml:space="preserve">monetary </w:t>
      </w:r>
      <w:r>
        <w:rPr>
          <w:sz w:val="22"/>
        </w:rPr>
        <w:t xml:space="preserve">remuneration paid to the supervisor of the award-winning student of the CULS in the expected amount of CZK 5,000.00. The </w:t>
      </w:r>
      <w:r w:rsidR="004C40EF">
        <w:rPr>
          <w:sz w:val="22"/>
        </w:rPr>
        <w:t xml:space="preserve">monetary </w:t>
      </w:r>
      <w:r>
        <w:rPr>
          <w:sz w:val="22"/>
        </w:rPr>
        <w:t>remuneration shall be paid by the Department for Studies, the CULS Rector’s Office</w:t>
      </w:r>
      <w:r w:rsidR="00CA4B92" w:rsidRPr="00243BC0">
        <w:rPr>
          <w:sz w:val="22"/>
        </w:rPr>
        <w:t>.</w:t>
      </w:r>
    </w:p>
    <w:p w:rsidR="00D24507" w:rsidRPr="00243BC0" w:rsidRDefault="00B635EC" w:rsidP="00B635EC">
      <w:pPr>
        <w:numPr>
          <w:ilvl w:val="0"/>
          <w:numId w:val="4"/>
        </w:numPr>
        <w:tabs>
          <w:tab w:val="left" w:pos="421"/>
        </w:tabs>
        <w:spacing w:after="240" w:line="254" w:lineRule="auto"/>
        <w:ind w:left="420" w:hanging="352"/>
        <w:jc w:val="both"/>
        <w:rPr>
          <w:sz w:val="22"/>
        </w:rPr>
      </w:pPr>
      <w:r>
        <w:rPr>
          <w:sz w:val="22"/>
        </w:rPr>
        <w:t xml:space="preserve">The individual Faculties or the Faculty of Tropical </w:t>
      </w:r>
      <w:proofErr w:type="spellStart"/>
      <w:r>
        <w:rPr>
          <w:sz w:val="22"/>
        </w:rPr>
        <w:t>AgroSciences</w:t>
      </w:r>
      <w:proofErr w:type="spellEnd"/>
      <w:r>
        <w:rPr>
          <w:sz w:val="22"/>
        </w:rPr>
        <w:t xml:space="preserve"> have an option to award prizes and use their </w:t>
      </w:r>
      <w:r w:rsidR="004C40EF">
        <w:rPr>
          <w:sz w:val="22"/>
        </w:rPr>
        <w:t xml:space="preserve">own </w:t>
      </w:r>
      <w:r>
        <w:rPr>
          <w:sz w:val="22"/>
        </w:rPr>
        <w:t xml:space="preserve">funds to provide remuneration for diploma and bachelor theses of other of their students at the Faculties’ </w:t>
      </w:r>
      <w:r w:rsidR="004C40EF">
        <w:rPr>
          <w:sz w:val="22"/>
        </w:rPr>
        <w:t>discretion</w:t>
      </w:r>
      <w:r>
        <w:rPr>
          <w:sz w:val="22"/>
        </w:rPr>
        <w:t xml:space="preserve"> (as a Dean’s/Director’s Prize).</w:t>
      </w:r>
    </w:p>
    <w:p w:rsidR="00D24507" w:rsidRPr="00243BC0" w:rsidRDefault="00CA4B92" w:rsidP="00B635EC">
      <w:pPr>
        <w:numPr>
          <w:ilvl w:val="0"/>
          <w:numId w:val="4"/>
        </w:numPr>
        <w:tabs>
          <w:tab w:val="left" w:pos="421"/>
        </w:tabs>
        <w:spacing w:after="240" w:line="237" w:lineRule="auto"/>
        <w:ind w:left="420" w:right="20" w:hanging="352"/>
        <w:jc w:val="both"/>
        <w:rPr>
          <w:sz w:val="22"/>
        </w:rPr>
      </w:pPr>
      <w:r w:rsidRPr="00243BC0">
        <w:rPr>
          <w:sz w:val="22"/>
        </w:rPr>
        <w:t>T</w:t>
      </w:r>
      <w:r w:rsidR="00B635EC">
        <w:rPr>
          <w:sz w:val="22"/>
        </w:rPr>
        <w:t>he CULS Rector’s Prize in no way affects the current system of awards of the Rector’s prize and Dean’s prize for students’ study results in conformity with the valid CULS Study and Examination Code</w:t>
      </w:r>
      <w:r w:rsidRPr="00243BC0">
        <w:rPr>
          <w:sz w:val="22"/>
        </w:rPr>
        <w:t>.</w:t>
      </w:r>
    </w:p>
    <w:p w:rsidR="00D24507" w:rsidRPr="00243BC0" w:rsidRDefault="00243BC0" w:rsidP="006B6067">
      <w:pPr>
        <w:spacing w:before="480" w:line="0" w:lineRule="atLeast"/>
        <w:ind w:right="17"/>
        <w:jc w:val="center"/>
        <w:rPr>
          <w:sz w:val="22"/>
        </w:rPr>
      </w:pPr>
      <w:r>
        <w:rPr>
          <w:sz w:val="22"/>
        </w:rPr>
        <w:t>Clause</w:t>
      </w:r>
      <w:r w:rsidR="00CA4B92" w:rsidRPr="00243BC0">
        <w:rPr>
          <w:sz w:val="22"/>
        </w:rPr>
        <w:t xml:space="preserve"> 3</w:t>
      </w:r>
    </w:p>
    <w:p w:rsidR="00D24507" w:rsidRPr="00243BC0" w:rsidRDefault="00D24507">
      <w:pPr>
        <w:spacing w:line="41" w:lineRule="exact"/>
        <w:rPr>
          <w:rFonts w:ascii="Times New Roman" w:eastAsia="Times New Roman" w:hAnsi="Times New Roman"/>
        </w:rPr>
      </w:pPr>
    </w:p>
    <w:p w:rsidR="00D24507" w:rsidRPr="00243BC0" w:rsidRDefault="00243BC0">
      <w:pPr>
        <w:spacing w:line="0" w:lineRule="atLeast"/>
        <w:jc w:val="center"/>
        <w:rPr>
          <w:b/>
          <w:sz w:val="22"/>
        </w:rPr>
      </w:pPr>
      <w:r>
        <w:rPr>
          <w:b/>
          <w:sz w:val="22"/>
        </w:rPr>
        <w:t>Final provisions</w:t>
      </w:r>
    </w:p>
    <w:p w:rsidR="00D24507" w:rsidRPr="00243BC0" w:rsidRDefault="00D24507">
      <w:pPr>
        <w:spacing w:line="240" w:lineRule="exact"/>
        <w:rPr>
          <w:rFonts w:ascii="Times New Roman" w:eastAsia="Times New Roman" w:hAnsi="Times New Roman"/>
        </w:rPr>
      </w:pPr>
    </w:p>
    <w:p w:rsidR="00D24507" w:rsidRPr="00243BC0" w:rsidRDefault="00243BC0">
      <w:pPr>
        <w:numPr>
          <w:ilvl w:val="0"/>
          <w:numId w:val="5"/>
        </w:numPr>
        <w:tabs>
          <w:tab w:val="left" w:pos="701"/>
        </w:tabs>
        <w:spacing w:line="0" w:lineRule="atLeast"/>
        <w:ind w:left="701" w:hanging="701"/>
        <w:rPr>
          <w:sz w:val="22"/>
        </w:rPr>
      </w:pPr>
      <w:r w:rsidRPr="00023EA4">
        <w:rPr>
          <w:sz w:val="22"/>
        </w:rPr>
        <w:t>T</w:t>
      </w:r>
      <w:r>
        <w:rPr>
          <w:sz w:val="22"/>
        </w:rPr>
        <w:t>his Directive becomes valid on the day of its publication</w:t>
      </w:r>
      <w:r w:rsidR="00CA4B92" w:rsidRPr="00243BC0">
        <w:rPr>
          <w:sz w:val="22"/>
        </w:rPr>
        <w:t>.</w:t>
      </w:r>
    </w:p>
    <w:p w:rsidR="00D24507" w:rsidRPr="00243BC0" w:rsidRDefault="00CA4B92" w:rsidP="006B6067">
      <w:pPr>
        <w:numPr>
          <w:ilvl w:val="0"/>
          <w:numId w:val="5"/>
        </w:numPr>
        <w:tabs>
          <w:tab w:val="left" w:pos="701"/>
        </w:tabs>
        <w:spacing w:before="240" w:line="0" w:lineRule="atLeast"/>
        <w:ind w:left="701" w:hanging="701"/>
        <w:rPr>
          <w:sz w:val="22"/>
        </w:rPr>
      </w:pPr>
      <w:r w:rsidRPr="00243BC0">
        <w:rPr>
          <w:sz w:val="22"/>
        </w:rPr>
        <w:t>T</w:t>
      </w:r>
      <w:r w:rsidR="00B635EC">
        <w:rPr>
          <w:sz w:val="22"/>
        </w:rPr>
        <w:t>his Directive becomes effective on 01 January 2012.</w:t>
      </w:r>
    </w:p>
    <w:p w:rsidR="00D24507" w:rsidRPr="00243BC0" w:rsidRDefault="00E06C55">
      <w:pPr>
        <w:spacing w:line="20" w:lineRule="exact"/>
        <w:rPr>
          <w:rFonts w:ascii="Times New Roman" w:eastAsia="Times New Roman" w:hAnsi="Times New Roman"/>
        </w:rPr>
      </w:pPr>
      <w:r>
        <w:rPr>
          <w:sz w:val="22"/>
        </w:rPr>
        <w:pict>
          <v:line id="_x0000_s1029" style="position:absolute;z-index:-251659264" from="-5.35pt,406.9pt" to="458.95pt,406.9pt" o:userdrawn="t" strokecolor="#999" strokeweight=".16931mm"/>
        </w:pict>
      </w:r>
      <w:r>
        <w:rPr>
          <w:sz w:val="22"/>
        </w:rPr>
        <w:pict>
          <v:shape id="_x0000_s1030" type="#_x0000_t75" style="position:absolute;margin-left:0;margin-top:414.4pt;width:27.25pt;height:17.4pt;z-index:-251658240">
            <v:imagedata r:id="rId9" o:title=""/>
          </v:shape>
        </w:pict>
      </w:r>
    </w:p>
    <w:p w:rsidR="00D24507" w:rsidRPr="00243BC0" w:rsidRDefault="00D24507" w:rsidP="001C0114">
      <w:pPr>
        <w:spacing w:before="4680" w:line="200" w:lineRule="exact"/>
        <w:rPr>
          <w:rFonts w:ascii="Times New Roman" w:eastAsia="Times New Roman" w:hAnsi="Times New Roman"/>
        </w:rPr>
      </w:pPr>
    </w:p>
    <w:tbl>
      <w:tblPr>
        <w:tblW w:w="0" w:type="auto"/>
        <w:tblBorders>
          <w:top w:val="single" w:sz="4" w:space="0" w:color="auto"/>
        </w:tblBorders>
        <w:tblLook w:val="04A0" w:firstRow="1" w:lastRow="0" w:firstColumn="1" w:lastColumn="0" w:noHBand="0" w:noVBand="1"/>
      </w:tblPr>
      <w:tblGrid>
        <w:gridCol w:w="3071"/>
        <w:gridCol w:w="3072"/>
        <w:gridCol w:w="3072"/>
      </w:tblGrid>
      <w:tr w:rsidR="00F31A0A" w:rsidRPr="00F31A0A" w:rsidTr="00F31A0A">
        <w:tc>
          <w:tcPr>
            <w:tcW w:w="3071" w:type="dxa"/>
            <w:shd w:val="clear" w:color="auto" w:fill="auto"/>
          </w:tcPr>
          <w:p w:rsidR="00B635EC" w:rsidRPr="00F31A0A" w:rsidRDefault="00E06C55" w:rsidP="00F31A0A">
            <w:pPr>
              <w:spacing w:line="200" w:lineRule="exact"/>
              <w:rPr>
                <w:rFonts w:ascii="Times New Roman" w:eastAsia="Times New Roman" w:hAnsi="Times New Roman"/>
              </w:rPr>
            </w:pPr>
            <w:r>
              <w:rPr>
                <w:noProof/>
              </w:rPr>
              <w:pict>
                <v:shape id="Obrázek 18" o:spid="_x0000_s1033" type="#_x0000_t75" style="position:absolute;margin-left:-5.4pt;margin-top:.2pt;width:27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p>
        </w:tc>
        <w:tc>
          <w:tcPr>
            <w:tcW w:w="3072" w:type="dxa"/>
            <w:shd w:val="clear" w:color="auto" w:fill="auto"/>
          </w:tcPr>
          <w:p w:rsidR="006B6067" w:rsidRPr="00F31A0A" w:rsidRDefault="006B6067" w:rsidP="00F31A0A">
            <w:pPr>
              <w:pStyle w:val="Zpat"/>
              <w:spacing w:before="120"/>
              <w:jc w:val="center"/>
              <w:rPr>
                <w:sz w:val="14"/>
              </w:rPr>
            </w:pPr>
            <w:r w:rsidRPr="00F31A0A">
              <w:rPr>
                <w:sz w:val="14"/>
              </w:rPr>
              <w:t>RECTOR’S DIRECTIVE</w:t>
            </w:r>
          </w:p>
          <w:p w:rsidR="00B635EC" w:rsidRPr="004C40EF" w:rsidRDefault="006B6067" w:rsidP="004C40EF">
            <w:pPr>
              <w:spacing w:line="200" w:lineRule="exact"/>
              <w:jc w:val="center"/>
              <w:rPr>
                <w:rFonts w:ascii="Times New Roman" w:eastAsia="Times New Roman" w:hAnsi="Times New Roman"/>
                <w:b/>
              </w:rPr>
            </w:pPr>
            <w:r w:rsidRPr="004C40EF">
              <w:rPr>
                <w:b/>
                <w:sz w:val="14"/>
              </w:rPr>
              <w:t xml:space="preserve">No. </w:t>
            </w:r>
            <w:r w:rsidR="004C40EF" w:rsidRPr="004C40EF">
              <w:rPr>
                <w:b/>
                <w:sz w:val="14"/>
              </w:rPr>
              <w:t>11/2011</w:t>
            </w:r>
          </w:p>
        </w:tc>
        <w:tc>
          <w:tcPr>
            <w:tcW w:w="3072" w:type="dxa"/>
            <w:shd w:val="clear" w:color="auto" w:fill="auto"/>
          </w:tcPr>
          <w:p w:rsidR="00B635EC" w:rsidRPr="00F31A0A" w:rsidRDefault="006B6067" w:rsidP="00F31A0A">
            <w:pPr>
              <w:spacing w:line="200" w:lineRule="exact"/>
              <w:jc w:val="right"/>
              <w:rPr>
                <w:rFonts w:eastAsia="Times New Roman" w:cs="Calibri"/>
                <w:sz w:val="14"/>
              </w:rPr>
            </w:pPr>
            <w:r w:rsidRPr="00F31A0A">
              <w:rPr>
                <w:rFonts w:eastAsia="Times New Roman" w:cs="Calibri"/>
                <w:sz w:val="14"/>
              </w:rPr>
              <w:t>PAGE</w:t>
            </w:r>
          </w:p>
          <w:p w:rsidR="006B6067" w:rsidRPr="00F31A0A" w:rsidRDefault="006B6067" w:rsidP="00F31A0A">
            <w:pPr>
              <w:spacing w:line="200" w:lineRule="exact"/>
              <w:jc w:val="right"/>
              <w:rPr>
                <w:rFonts w:ascii="Times New Roman" w:eastAsia="Times New Roman" w:hAnsi="Times New Roman"/>
              </w:rPr>
            </w:pPr>
            <w:r w:rsidRPr="00F31A0A">
              <w:rPr>
                <w:rFonts w:eastAsia="Times New Roman" w:cs="Calibri"/>
                <w:sz w:val="14"/>
              </w:rPr>
              <w:t>2 / 2</w:t>
            </w:r>
          </w:p>
        </w:tc>
      </w:tr>
    </w:tbl>
    <w:p w:rsidR="00D24507" w:rsidRPr="00243BC0" w:rsidRDefault="00D24507">
      <w:pPr>
        <w:spacing w:line="1" w:lineRule="exact"/>
        <w:rPr>
          <w:rFonts w:ascii="Times New Roman" w:eastAsia="Times New Roman" w:hAnsi="Times New Roman"/>
        </w:rPr>
      </w:pPr>
    </w:p>
    <w:sectPr w:rsidR="00D24507" w:rsidRPr="00243BC0">
      <w:footerReference w:type="default" r:id="rId11"/>
      <w:pgSz w:w="11900" w:h="16838"/>
      <w:pgMar w:top="1440" w:right="1406" w:bottom="40" w:left="1419" w:header="0" w:footer="0" w:gutter="0"/>
      <w:cols w:space="0" w:equalWidth="0">
        <w:col w:w="908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58" w:rsidRDefault="007C3F58" w:rsidP="001C0114">
      <w:r>
        <w:separator/>
      </w:r>
    </w:p>
  </w:endnote>
  <w:endnote w:type="continuationSeparator" w:id="0">
    <w:p w:rsidR="007C3F58" w:rsidRDefault="007C3F58" w:rsidP="001C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14" w:rsidRDefault="001C0114">
    <w:pPr>
      <w:pStyle w:val="Zpat"/>
    </w:pPr>
  </w:p>
  <w:p w:rsidR="001C0114" w:rsidRDefault="001C0114">
    <w:pPr>
      <w:pStyle w:val="Zpat"/>
    </w:pPr>
  </w:p>
  <w:p w:rsidR="001C0114" w:rsidRDefault="001C0114">
    <w:pPr>
      <w:pStyle w:val="Zpat"/>
    </w:pPr>
  </w:p>
  <w:p w:rsidR="001C0114" w:rsidRDefault="001C0114">
    <w:pPr>
      <w:pStyle w:val="Zpat"/>
    </w:pPr>
  </w:p>
  <w:p w:rsidR="001C0114" w:rsidRDefault="001C01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58" w:rsidRDefault="007C3F58" w:rsidP="001C0114">
      <w:r>
        <w:separator/>
      </w:r>
    </w:p>
  </w:footnote>
  <w:footnote w:type="continuationSeparator" w:id="0">
    <w:p w:rsidR="007C3F58" w:rsidRDefault="007C3F58" w:rsidP="001C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B99AC6E4">
      <w:start w:val="1"/>
      <w:numFmt w:val="bullet"/>
      <w:lvlText w:val="Č."/>
      <w:lvlJc w:val="left"/>
    </w:lvl>
    <w:lvl w:ilvl="1" w:tplc="A04865AC">
      <w:start w:val="1"/>
      <w:numFmt w:val="bullet"/>
      <w:lvlText w:val=""/>
      <w:lvlJc w:val="left"/>
    </w:lvl>
    <w:lvl w:ilvl="2" w:tplc="E80C93AC">
      <w:start w:val="1"/>
      <w:numFmt w:val="bullet"/>
      <w:lvlText w:val=""/>
      <w:lvlJc w:val="left"/>
    </w:lvl>
    <w:lvl w:ilvl="3" w:tplc="9112EED0">
      <w:start w:val="1"/>
      <w:numFmt w:val="bullet"/>
      <w:lvlText w:val=""/>
      <w:lvlJc w:val="left"/>
    </w:lvl>
    <w:lvl w:ilvl="4" w:tplc="66843378">
      <w:start w:val="1"/>
      <w:numFmt w:val="bullet"/>
      <w:lvlText w:val=""/>
      <w:lvlJc w:val="left"/>
    </w:lvl>
    <w:lvl w:ilvl="5" w:tplc="EAB81EA6">
      <w:start w:val="1"/>
      <w:numFmt w:val="bullet"/>
      <w:lvlText w:val=""/>
      <w:lvlJc w:val="left"/>
    </w:lvl>
    <w:lvl w:ilvl="6" w:tplc="4D7CE89E">
      <w:start w:val="1"/>
      <w:numFmt w:val="bullet"/>
      <w:lvlText w:val=""/>
      <w:lvlJc w:val="left"/>
    </w:lvl>
    <w:lvl w:ilvl="7" w:tplc="718A4E86">
      <w:start w:val="1"/>
      <w:numFmt w:val="bullet"/>
      <w:lvlText w:val=""/>
      <w:lvlJc w:val="left"/>
    </w:lvl>
    <w:lvl w:ilvl="8" w:tplc="FE1ABA08">
      <w:start w:val="1"/>
      <w:numFmt w:val="bullet"/>
      <w:lvlText w:val=""/>
      <w:lvlJc w:val="left"/>
    </w:lvl>
  </w:abstractNum>
  <w:abstractNum w:abstractNumId="1" w15:restartNumberingAfterBreak="0">
    <w:nsid w:val="00000002"/>
    <w:multiLevelType w:val="hybridMultilevel"/>
    <w:tmpl w:val="2AE8944A"/>
    <w:lvl w:ilvl="0" w:tplc="B5A05E84">
      <w:start w:val="1"/>
      <w:numFmt w:val="decimal"/>
      <w:lvlText w:val="(%1)"/>
      <w:lvlJc w:val="left"/>
    </w:lvl>
    <w:lvl w:ilvl="1" w:tplc="60725FBE">
      <w:start w:val="1"/>
      <w:numFmt w:val="bullet"/>
      <w:lvlText w:val=""/>
      <w:lvlJc w:val="left"/>
    </w:lvl>
    <w:lvl w:ilvl="2" w:tplc="7E643178">
      <w:start w:val="1"/>
      <w:numFmt w:val="bullet"/>
      <w:lvlText w:val=""/>
      <w:lvlJc w:val="left"/>
    </w:lvl>
    <w:lvl w:ilvl="3" w:tplc="1E6A1448">
      <w:start w:val="1"/>
      <w:numFmt w:val="bullet"/>
      <w:lvlText w:val=""/>
      <w:lvlJc w:val="left"/>
    </w:lvl>
    <w:lvl w:ilvl="4" w:tplc="7114A784">
      <w:start w:val="1"/>
      <w:numFmt w:val="bullet"/>
      <w:lvlText w:val=""/>
      <w:lvlJc w:val="left"/>
    </w:lvl>
    <w:lvl w:ilvl="5" w:tplc="F9C6DA42">
      <w:start w:val="1"/>
      <w:numFmt w:val="bullet"/>
      <w:lvlText w:val=""/>
      <w:lvlJc w:val="left"/>
    </w:lvl>
    <w:lvl w:ilvl="6" w:tplc="A6628CF8">
      <w:start w:val="1"/>
      <w:numFmt w:val="bullet"/>
      <w:lvlText w:val=""/>
      <w:lvlJc w:val="left"/>
    </w:lvl>
    <w:lvl w:ilvl="7" w:tplc="7B7E375E">
      <w:start w:val="1"/>
      <w:numFmt w:val="bullet"/>
      <w:lvlText w:val=""/>
      <w:lvlJc w:val="left"/>
    </w:lvl>
    <w:lvl w:ilvl="8" w:tplc="A2C8649A">
      <w:start w:val="1"/>
      <w:numFmt w:val="bullet"/>
      <w:lvlText w:val=""/>
      <w:lvlJc w:val="left"/>
    </w:lvl>
  </w:abstractNum>
  <w:abstractNum w:abstractNumId="2" w15:restartNumberingAfterBreak="0">
    <w:nsid w:val="00000003"/>
    <w:multiLevelType w:val="hybridMultilevel"/>
    <w:tmpl w:val="625558EC"/>
    <w:lvl w:ilvl="0" w:tplc="4CAA9ABA">
      <w:start w:val="1"/>
      <w:numFmt w:val="decimal"/>
      <w:lvlText w:val="(%1)"/>
      <w:lvlJc w:val="left"/>
    </w:lvl>
    <w:lvl w:ilvl="1" w:tplc="6ED68088">
      <w:start w:val="1"/>
      <w:numFmt w:val="bullet"/>
      <w:lvlText w:val=""/>
      <w:lvlJc w:val="left"/>
    </w:lvl>
    <w:lvl w:ilvl="2" w:tplc="883CFA52">
      <w:start w:val="1"/>
      <w:numFmt w:val="bullet"/>
      <w:lvlText w:val=""/>
      <w:lvlJc w:val="left"/>
    </w:lvl>
    <w:lvl w:ilvl="3" w:tplc="E99247DC">
      <w:start w:val="1"/>
      <w:numFmt w:val="bullet"/>
      <w:lvlText w:val=""/>
      <w:lvlJc w:val="left"/>
    </w:lvl>
    <w:lvl w:ilvl="4" w:tplc="3DC89A34">
      <w:start w:val="1"/>
      <w:numFmt w:val="bullet"/>
      <w:lvlText w:val=""/>
      <w:lvlJc w:val="left"/>
    </w:lvl>
    <w:lvl w:ilvl="5" w:tplc="2394456C">
      <w:start w:val="1"/>
      <w:numFmt w:val="bullet"/>
      <w:lvlText w:val=""/>
      <w:lvlJc w:val="left"/>
    </w:lvl>
    <w:lvl w:ilvl="6" w:tplc="98240B40">
      <w:start w:val="1"/>
      <w:numFmt w:val="bullet"/>
      <w:lvlText w:val=""/>
      <w:lvlJc w:val="left"/>
    </w:lvl>
    <w:lvl w:ilvl="7" w:tplc="F062859E">
      <w:start w:val="1"/>
      <w:numFmt w:val="bullet"/>
      <w:lvlText w:val=""/>
      <w:lvlJc w:val="left"/>
    </w:lvl>
    <w:lvl w:ilvl="8" w:tplc="856CF284">
      <w:start w:val="1"/>
      <w:numFmt w:val="bullet"/>
      <w:lvlText w:val=""/>
      <w:lvlJc w:val="left"/>
    </w:lvl>
  </w:abstractNum>
  <w:abstractNum w:abstractNumId="3" w15:restartNumberingAfterBreak="0">
    <w:nsid w:val="00000004"/>
    <w:multiLevelType w:val="hybridMultilevel"/>
    <w:tmpl w:val="238E1F28"/>
    <w:lvl w:ilvl="0" w:tplc="A8869452">
      <w:start w:val="6"/>
      <w:numFmt w:val="decimal"/>
      <w:lvlText w:val="(%1)"/>
      <w:lvlJc w:val="left"/>
    </w:lvl>
    <w:lvl w:ilvl="1" w:tplc="9E64F4A8">
      <w:start w:val="1"/>
      <w:numFmt w:val="bullet"/>
      <w:lvlText w:val=""/>
      <w:lvlJc w:val="left"/>
    </w:lvl>
    <w:lvl w:ilvl="2" w:tplc="65C0EECC">
      <w:start w:val="1"/>
      <w:numFmt w:val="bullet"/>
      <w:lvlText w:val=""/>
      <w:lvlJc w:val="left"/>
    </w:lvl>
    <w:lvl w:ilvl="3" w:tplc="8902ABD8">
      <w:start w:val="1"/>
      <w:numFmt w:val="bullet"/>
      <w:lvlText w:val=""/>
      <w:lvlJc w:val="left"/>
    </w:lvl>
    <w:lvl w:ilvl="4" w:tplc="F1A83EB2">
      <w:start w:val="1"/>
      <w:numFmt w:val="bullet"/>
      <w:lvlText w:val=""/>
      <w:lvlJc w:val="left"/>
    </w:lvl>
    <w:lvl w:ilvl="5" w:tplc="B4629A7E">
      <w:start w:val="1"/>
      <w:numFmt w:val="bullet"/>
      <w:lvlText w:val=""/>
      <w:lvlJc w:val="left"/>
    </w:lvl>
    <w:lvl w:ilvl="6" w:tplc="6114BFBC">
      <w:start w:val="1"/>
      <w:numFmt w:val="bullet"/>
      <w:lvlText w:val=""/>
      <w:lvlJc w:val="left"/>
    </w:lvl>
    <w:lvl w:ilvl="7" w:tplc="2A1A7F5E">
      <w:start w:val="1"/>
      <w:numFmt w:val="bullet"/>
      <w:lvlText w:val=""/>
      <w:lvlJc w:val="left"/>
    </w:lvl>
    <w:lvl w:ilvl="8" w:tplc="9752BAFC">
      <w:start w:val="1"/>
      <w:numFmt w:val="bullet"/>
      <w:lvlText w:val=""/>
      <w:lvlJc w:val="left"/>
    </w:lvl>
  </w:abstractNum>
  <w:abstractNum w:abstractNumId="4" w15:restartNumberingAfterBreak="0">
    <w:nsid w:val="00000005"/>
    <w:multiLevelType w:val="hybridMultilevel"/>
    <w:tmpl w:val="46E87CCC"/>
    <w:lvl w:ilvl="0" w:tplc="D1AE8DFE">
      <w:start w:val="1"/>
      <w:numFmt w:val="decimal"/>
      <w:lvlText w:val="(%1)"/>
      <w:lvlJc w:val="left"/>
    </w:lvl>
    <w:lvl w:ilvl="1" w:tplc="C6428868">
      <w:start w:val="1"/>
      <w:numFmt w:val="bullet"/>
      <w:lvlText w:val=""/>
      <w:lvlJc w:val="left"/>
    </w:lvl>
    <w:lvl w:ilvl="2" w:tplc="789451AA">
      <w:start w:val="1"/>
      <w:numFmt w:val="bullet"/>
      <w:lvlText w:val=""/>
      <w:lvlJc w:val="left"/>
    </w:lvl>
    <w:lvl w:ilvl="3" w:tplc="60703BC6">
      <w:start w:val="1"/>
      <w:numFmt w:val="bullet"/>
      <w:lvlText w:val=""/>
      <w:lvlJc w:val="left"/>
    </w:lvl>
    <w:lvl w:ilvl="4" w:tplc="67048CCA">
      <w:start w:val="1"/>
      <w:numFmt w:val="bullet"/>
      <w:lvlText w:val=""/>
      <w:lvlJc w:val="left"/>
    </w:lvl>
    <w:lvl w:ilvl="5" w:tplc="B28C39E8">
      <w:start w:val="1"/>
      <w:numFmt w:val="bullet"/>
      <w:lvlText w:val=""/>
      <w:lvlJc w:val="left"/>
    </w:lvl>
    <w:lvl w:ilvl="6" w:tplc="CE1C9688">
      <w:start w:val="1"/>
      <w:numFmt w:val="bullet"/>
      <w:lvlText w:val=""/>
      <w:lvlJc w:val="left"/>
    </w:lvl>
    <w:lvl w:ilvl="7" w:tplc="6EB6C1C6">
      <w:start w:val="1"/>
      <w:numFmt w:val="bullet"/>
      <w:lvlText w:val=""/>
      <w:lvlJc w:val="left"/>
    </w:lvl>
    <w:lvl w:ilvl="8" w:tplc="4E545D9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B92"/>
    <w:rsid w:val="001C0114"/>
    <w:rsid w:val="00243BC0"/>
    <w:rsid w:val="004C40EF"/>
    <w:rsid w:val="006B6067"/>
    <w:rsid w:val="006C23F7"/>
    <w:rsid w:val="006E0E7A"/>
    <w:rsid w:val="00741BC9"/>
    <w:rsid w:val="007C3F58"/>
    <w:rsid w:val="00B635EC"/>
    <w:rsid w:val="00CA4B92"/>
    <w:rsid w:val="00CC1A00"/>
    <w:rsid w:val="00D24507"/>
    <w:rsid w:val="00D83B17"/>
    <w:rsid w:val="00E72964"/>
    <w:rsid w:val="00F31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E89842B"/>
  <w15:chartTrackingRefBased/>
  <w15:docId w15:val="{F36C97D0-4889-40A6-BAC3-70110B58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6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6B6067"/>
    <w:pPr>
      <w:tabs>
        <w:tab w:val="center" w:pos="4536"/>
        <w:tab w:val="right" w:pos="9072"/>
      </w:tabs>
    </w:pPr>
  </w:style>
  <w:style w:type="character" w:customStyle="1" w:styleId="ZpatChar">
    <w:name w:val="Zápatí Char"/>
    <w:link w:val="Zpat"/>
    <w:uiPriority w:val="99"/>
    <w:rsid w:val="006B6067"/>
    <w:rPr>
      <w:lang w:val="en-GB"/>
    </w:rPr>
  </w:style>
  <w:style w:type="paragraph" w:styleId="Zhlav">
    <w:name w:val="header"/>
    <w:basedOn w:val="Normln"/>
    <w:link w:val="ZhlavChar"/>
    <w:uiPriority w:val="99"/>
    <w:unhideWhenUsed/>
    <w:rsid w:val="001C0114"/>
    <w:pPr>
      <w:tabs>
        <w:tab w:val="center" w:pos="4536"/>
        <w:tab w:val="right" w:pos="9072"/>
      </w:tabs>
    </w:pPr>
  </w:style>
  <w:style w:type="character" w:customStyle="1" w:styleId="ZhlavChar">
    <w:name w:val="Záhlaví Char"/>
    <w:link w:val="Zhlav"/>
    <w:uiPriority w:val="99"/>
    <w:rsid w:val="001C01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3683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Šímová</dc:creator>
  <cp:keywords/>
  <cp:lastModifiedBy>Martina Hrbková</cp:lastModifiedBy>
  <cp:revision>4</cp:revision>
  <dcterms:created xsi:type="dcterms:W3CDTF">2020-03-03T11:12:00Z</dcterms:created>
  <dcterms:modified xsi:type="dcterms:W3CDTF">2020-03-03T11:19:00Z</dcterms:modified>
</cp:coreProperties>
</file>